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8CA41A" w14:textId="234AD6E9" w:rsidR="004F0554" w:rsidRPr="0046534E" w:rsidRDefault="00867E75" w:rsidP="00244AC5">
      <w:pPr>
        <w:pBdr>
          <w:bottom w:val="single" w:sz="4" w:space="1" w:color="auto"/>
        </w:pBdr>
        <w:tabs>
          <w:tab w:val="left" w:pos="3969"/>
          <w:tab w:val="right" w:pos="9354"/>
        </w:tabs>
        <w:rPr>
          <w:rFonts w:ascii="Arial" w:hAnsi="Arial" w:cs="Arial"/>
          <w:b/>
        </w:rPr>
      </w:pPr>
      <w:r>
        <w:rPr>
          <w:noProof/>
        </w:rPr>
        <w:drawing>
          <wp:anchor distT="0" distB="0" distL="114300" distR="114300" simplePos="0" relativeHeight="251659776" behindDoc="0" locked="0" layoutInCell="1" allowOverlap="1" wp14:anchorId="788A5D10" wp14:editId="32CB568E">
            <wp:simplePos x="0" y="0"/>
            <wp:positionH relativeFrom="column">
              <wp:posOffset>4519295</wp:posOffset>
            </wp:positionH>
            <wp:positionV relativeFrom="paragraph">
              <wp:posOffset>-363855</wp:posOffset>
            </wp:positionV>
            <wp:extent cx="1533182" cy="847725"/>
            <wp:effectExtent l="0" t="0" r="0" b="0"/>
            <wp:wrapNone/>
            <wp:docPr id="1798645352" name="Grafik 1" descr="Ein Bild, das Text, Schrift, Logo, 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645352" name="Grafik 1" descr="Ein Bild, das Text, Schrift, Logo, Grafiken enthält.&#10;&#10;Automatisch generierte Beschreibu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33182" cy="847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803769" w14:textId="77777777" w:rsidR="006C3FBA" w:rsidRPr="0046534E" w:rsidRDefault="006C3FBA" w:rsidP="006C3FBA">
      <w:pPr>
        <w:pBdr>
          <w:bottom w:val="single" w:sz="4" w:space="1" w:color="auto"/>
        </w:pBdr>
        <w:tabs>
          <w:tab w:val="left" w:pos="3969"/>
          <w:tab w:val="left" w:pos="6045"/>
          <w:tab w:val="right" w:pos="9354"/>
        </w:tabs>
        <w:rPr>
          <w:rFonts w:ascii="Arial" w:hAnsi="Arial" w:cs="Arial"/>
          <w:b/>
        </w:rPr>
      </w:pPr>
    </w:p>
    <w:p w14:paraId="02DA994E" w14:textId="02F8A239" w:rsidR="00FC1C3E" w:rsidRPr="0046534E" w:rsidRDefault="00FC1C3E" w:rsidP="006C3FBA">
      <w:pPr>
        <w:pBdr>
          <w:bottom w:val="single" w:sz="4" w:space="1" w:color="auto"/>
        </w:pBdr>
        <w:tabs>
          <w:tab w:val="left" w:pos="3969"/>
          <w:tab w:val="left" w:pos="6045"/>
          <w:tab w:val="right" w:pos="9354"/>
        </w:tabs>
        <w:rPr>
          <w:rFonts w:ascii="Arial" w:hAnsi="Arial" w:cs="Arial"/>
          <w:b/>
        </w:rPr>
      </w:pPr>
      <w:r w:rsidRPr="0046534E">
        <w:rPr>
          <w:rFonts w:ascii="Arial" w:hAnsi="Arial" w:cs="Arial"/>
          <w:b/>
        </w:rPr>
        <w:t>Pro Senec</w:t>
      </w:r>
      <w:r w:rsidR="004F0554" w:rsidRPr="0046534E">
        <w:rPr>
          <w:rFonts w:ascii="Arial" w:hAnsi="Arial" w:cs="Arial"/>
          <w:b/>
        </w:rPr>
        <w:t>t</w:t>
      </w:r>
      <w:r w:rsidRPr="0046534E">
        <w:rPr>
          <w:rFonts w:ascii="Arial" w:hAnsi="Arial" w:cs="Arial"/>
          <w:b/>
        </w:rPr>
        <w:t xml:space="preserve">ute </w:t>
      </w:r>
      <w:r w:rsidR="006C3FBA" w:rsidRPr="0046534E">
        <w:rPr>
          <w:rFonts w:ascii="Arial" w:hAnsi="Arial" w:cs="Arial"/>
          <w:b/>
        </w:rPr>
        <w:t>Thurgau</w:t>
      </w:r>
      <w:r w:rsidR="006C3FBA" w:rsidRPr="0046534E">
        <w:rPr>
          <w:rFonts w:ascii="Arial" w:hAnsi="Arial" w:cs="Arial"/>
          <w:b/>
        </w:rPr>
        <w:tab/>
      </w:r>
    </w:p>
    <w:p w14:paraId="1737F6DE" w14:textId="77777777" w:rsidR="00FC1C3E" w:rsidRPr="0046534E" w:rsidRDefault="00FC1C3E" w:rsidP="00FC1C3E">
      <w:pPr>
        <w:rPr>
          <w:rFonts w:ascii="Arial" w:hAnsi="Arial" w:cs="Arial"/>
        </w:rPr>
      </w:pPr>
    </w:p>
    <w:p w14:paraId="59065899" w14:textId="77777777" w:rsidR="00D53C71" w:rsidRPr="0046534E" w:rsidRDefault="00D53C71">
      <w:pPr>
        <w:rPr>
          <w:rFonts w:ascii="Arial" w:hAnsi="Arial" w:cs="Arial"/>
        </w:rPr>
      </w:pPr>
    </w:p>
    <w:p w14:paraId="6381CE08" w14:textId="348C12C3" w:rsidR="0046534E" w:rsidRPr="0046534E" w:rsidRDefault="0046534E" w:rsidP="0046534E">
      <w:pPr>
        <w:rPr>
          <w:rFonts w:ascii="Arial" w:hAnsi="Arial" w:cs="Arial"/>
          <w:b/>
          <w:szCs w:val="22"/>
        </w:rPr>
      </w:pPr>
      <w:r w:rsidRPr="0046534E">
        <w:rPr>
          <w:rFonts w:ascii="Arial" w:hAnsi="Arial" w:cs="Arial"/>
          <w:b/>
          <w:szCs w:val="22"/>
        </w:rPr>
        <w:t>Über die Organisation:</w:t>
      </w:r>
    </w:p>
    <w:p w14:paraId="05C9EAB1" w14:textId="77777777" w:rsidR="0046534E" w:rsidRPr="0046534E" w:rsidRDefault="0046534E" w:rsidP="0046534E">
      <w:pPr>
        <w:spacing w:after="40"/>
        <w:rPr>
          <w:rFonts w:ascii="Arial" w:hAnsi="Arial" w:cs="Arial"/>
          <w:szCs w:val="22"/>
        </w:rPr>
      </w:pPr>
    </w:p>
    <w:p w14:paraId="2E3D3D5A"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shd w:val="clear" w:color="auto" w:fill="B3B3B3"/>
        <w:spacing w:line="360" w:lineRule="auto"/>
        <w:jc w:val="both"/>
        <w:rPr>
          <w:rFonts w:ascii="Arial" w:hAnsi="Arial" w:cs="Arial"/>
          <w:b/>
          <w:szCs w:val="22"/>
        </w:rPr>
      </w:pPr>
      <w:r w:rsidRPr="0046534E">
        <w:rPr>
          <w:rFonts w:ascii="Arial" w:hAnsi="Arial" w:cs="Arial"/>
          <w:b/>
          <w:szCs w:val="22"/>
        </w:rPr>
        <w:t>Pro Senectute Thurgau</w:t>
      </w:r>
    </w:p>
    <w:p w14:paraId="7E67703F" w14:textId="18EF146E"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Cs w:val="22"/>
        </w:rPr>
      </w:pPr>
      <w:r w:rsidRPr="0046534E">
        <w:rPr>
          <w:rFonts w:ascii="Arial" w:hAnsi="Arial" w:cs="Arial"/>
          <w:szCs w:val="22"/>
        </w:rPr>
        <w:t xml:space="preserve">Pro Senectute Thurgau ist die Fachorganisation für Altersfragen und -angebote im Kanton Thurgau. Die Stiftung setzt sich für ein selbstbestimmtes, lebens- und liebenswertes Älterwerden sowie für die Solidarität zwischen den Generationen ein. Pro Senectute Thurgau ist flächendeckend im ganzen Kanton Thurgau präsent. </w:t>
      </w:r>
    </w:p>
    <w:p w14:paraId="614A16D2"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 w:val="8"/>
          <w:szCs w:val="22"/>
        </w:rPr>
      </w:pPr>
    </w:p>
    <w:p w14:paraId="725A72E4"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Cs w:val="22"/>
        </w:rPr>
      </w:pPr>
      <w:r w:rsidRPr="0046534E">
        <w:rPr>
          <w:rFonts w:ascii="Arial" w:hAnsi="Arial" w:cs="Arial"/>
          <w:szCs w:val="22"/>
        </w:rPr>
        <w:t>Das ganzheitliche Angebot für ältere Menschen beinhaltet:</w:t>
      </w:r>
    </w:p>
    <w:p w14:paraId="12F697A8"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 w:val="8"/>
          <w:szCs w:val="22"/>
        </w:rPr>
      </w:pPr>
    </w:p>
    <w:p w14:paraId="1924C134"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Cs w:val="22"/>
        </w:rPr>
      </w:pPr>
      <w:r w:rsidRPr="0046534E">
        <w:rPr>
          <w:rFonts w:ascii="Arial" w:hAnsi="Arial" w:cs="Arial"/>
          <w:b/>
          <w:szCs w:val="22"/>
        </w:rPr>
        <w:t>Alltagshilfen</w:t>
      </w:r>
      <w:r w:rsidRPr="0046534E">
        <w:rPr>
          <w:rFonts w:ascii="Arial" w:hAnsi="Arial" w:cs="Arial"/>
          <w:b/>
          <w:szCs w:val="22"/>
        </w:rPr>
        <w:br/>
      </w:r>
      <w:r w:rsidRPr="0046534E">
        <w:rPr>
          <w:rFonts w:ascii="Arial" w:hAnsi="Arial" w:cs="Arial"/>
          <w:szCs w:val="22"/>
        </w:rPr>
        <w:t>Die umfassenden Dienstleistungen der "Alltagshilfen" mit den Angeboten Haushilfe- und Besuchsdienste, Grobreinigung, Gartenarbeit, Administrative Unterstützung und Treuhand- und Steuererklärungsdienste helfen mit, den älteren Menschen lange ein erfülltes und selbstständiges Leben in der gewohnten Umgebung zu ermöglichen.</w:t>
      </w:r>
    </w:p>
    <w:p w14:paraId="3214B212" w14:textId="743B70A8" w:rsidR="0046534E" w:rsidRPr="0046534E" w:rsidRDefault="00867E75"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Cs w:val="22"/>
        </w:rPr>
      </w:pPr>
      <w:r>
        <w:rPr>
          <w:rFonts w:ascii="Arial" w:hAnsi="Arial" w:cs="Arial"/>
          <w:b/>
          <w:szCs w:val="22"/>
        </w:rPr>
        <w:t>Freizeitangebote</w:t>
      </w:r>
      <w:r w:rsidR="0046534E" w:rsidRPr="0046534E">
        <w:rPr>
          <w:rFonts w:ascii="Arial" w:hAnsi="Arial" w:cs="Arial"/>
          <w:b/>
          <w:szCs w:val="22"/>
        </w:rPr>
        <w:br/>
      </w:r>
      <w:r w:rsidR="0046534E" w:rsidRPr="0046534E">
        <w:rPr>
          <w:rFonts w:ascii="Arial" w:hAnsi="Arial" w:cs="Arial"/>
          <w:szCs w:val="22"/>
        </w:rPr>
        <w:t>Pro Senectute Thurgau bietet qualifizierte und nachhaltige Bildungs- und Sportangebote an, die gezielt auf die vielfältigen Bedürfnisse von Menschen ab 55 Jahren ausgerichtet sind. Die regelmässige Nutzung der Bildungs- und Sportangebote fördert den Erhalt der körperlichen und geistigen Fitness, ermöglicht soziale Kontakte und bringt Struktur und Abwechslung in den Alltag.</w:t>
      </w:r>
    </w:p>
    <w:p w14:paraId="5F002FA2"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b/>
          <w:bCs/>
          <w:iCs/>
          <w:szCs w:val="22"/>
        </w:rPr>
      </w:pPr>
      <w:r w:rsidRPr="0046534E">
        <w:rPr>
          <w:rFonts w:ascii="Arial" w:hAnsi="Arial" w:cs="Arial"/>
          <w:b/>
          <w:szCs w:val="22"/>
        </w:rPr>
        <w:t>Gemeinwesenarbeit</w:t>
      </w:r>
    </w:p>
    <w:p w14:paraId="2530448D"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bCs/>
          <w:iCs/>
          <w:szCs w:val="22"/>
        </w:rPr>
      </w:pPr>
      <w:r w:rsidRPr="0046534E">
        <w:rPr>
          <w:rFonts w:ascii="Arial" w:hAnsi="Arial" w:cs="Arial"/>
          <w:bCs/>
          <w:iCs/>
          <w:szCs w:val="22"/>
        </w:rPr>
        <w:t>Mit professionell ausgerichteten Projekten trägt Pro Senectute Thurgau dazu bei, die Lebensbedingungen älterer Menschen, insbesondere jene von sozial benachteiligten, zu verbessern.</w:t>
      </w:r>
      <w:r w:rsidRPr="0046534E">
        <w:rPr>
          <w:rFonts w:ascii="Arial" w:hAnsi="Arial" w:cs="Arial"/>
          <w:b/>
          <w:bCs/>
          <w:iCs/>
          <w:szCs w:val="22"/>
        </w:rPr>
        <w:t xml:space="preserve"> </w:t>
      </w:r>
      <w:r w:rsidRPr="0046534E">
        <w:rPr>
          <w:rFonts w:ascii="Arial" w:hAnsi="Arial" w:cs="Arial"/>
          <w:bCs/>
          <w:iCs/>
          <w:szCs w:val="22"/>
        </w:rPr>
        <w:t>Die Umsetzung der Projekte erfolgt unter aktivem Einbezug der Bevölkerung sowie anderer Organisationen und Institutionen.</w:t>
      </w:r>
    </w:p>
    <w:p w14:paraId="47C2A1E0"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Cs w:val="22"/>
        </w:rPr>
      </w:pPr>
      <w:r w:rsidRPr="0046534E">
        <w:rPr>
          <w:rFonts w:ascii="Arial" w:hAnsi="Arial" w:cs="Arial"/>
          <w:b/>
          <w:bCs/>
          <w:iCs/>
          <w:szCs w:val="22"/>
        </w:rPr>
        <w:t>Sozialberatung</w:t>
      </w:r>
    </w:p>
    <w:p w14:paraId="10C8E140" w14:textId="0C3DC68F"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sz w:val="10"/>
          <w:szCs w:val="22"/>
        </w:rPr>
      </w:pPr>
      <w:r w:rsidRPr="0046534E">
        <w:rPr>
          <w:rFonts w:ascii="Arial" w:hAnsi="Arial" w:cs="Arial"/>
          <w:szCs w:val="22"/>
        </w:rPr>
        <w:t xml:space="preserve">In unseren </w:t>
      </w:r>
      <w:r w:rsidR="00867E75">
        <w:rPr>
          <w:rFonts w:ascii="Arial" w:hAnsi="Arial" w:cs="Arial"/>
          <w:szCs w:val="22"/>
        </w:rPr>
        <w:t>sieben</w:t>
      </w:r>
      <w:r w:rsidRPr="0046534E">
        <w:rPr>
          <w:rFonts w:ascii="Arial" w:hAnsi="Arial" w:cs="Arial"/>
          <w:szCs w:val="22"/>
        </w:rPr>
        <w:t xml:space="preserve"> Beratungsstellen können sich Personen ab dem 60. Lebensjahr und deren Angehörigen unentgeltlich von unseren Sozialarbeiterinnen und Sozialarbeitern FH informieren und beraten lassen. Sie helfen nicht nur bei finanziellen oder administrativen Problemen, sondern auch bei Fragen zu Themen wie Gesundheit, Wohnen oder Recht. Mit der Individuellen Finanzhilfe leistet Pro Senectute Thurgau einen wichtigen Beitrag zur Sicherung der materiellen Existenz und zur Verbesserung der Lebensqualität im Alter.</w:t>
      </w:r>
      <w:r w:rsidRPr="0046534E">
        <w:rPr>
          <w:rFonts w:ascii="Arial" w:hAnsi="Arial" w:cs="Arial"/>
          <w:b/>
          <w:szCs w:val="22"/>
        </w:rPr>
        <w:br/>
      </w:r>
    </w:p>
    <w:p w14:paraId="057603AF" w14:textId="77777777" w:rsidR="0046534E" w:rsidRPr="0046534E" w:rsidRDefault="0046534E" w:rsidP="0046534E">
      <w:pPr>
        <w:pBdr>
          <w:top w:val="single" w:sz="6" w:space="4" w:color="808080"/>
          <w:left w:val="single" w:sz="6" w:space="4" w:color="808080"/>
          <w:bottom w:val="single" w:sz="6" w:space="4" w:color="808080"/>
          <w:right w:val="single" w:sz="6" w:space="4" w:color="808080"/>
        </w:pBdr>
        <w:tabs>
          <w:tab w:val="right" w:pos="9000"/>
        </w:tabs>
        <w:rPr>
          <w:rFonts w:ascii="Arial" w:hAnsi="Arial" w:cs="Arial"/>
          <w:iCs/>
          <w:szCs w:val="22"/>
        </w:rPr>
      </w:pPr>
      <w:r w:rsidRPr="0046534E">
        <w:rPr>
          <w:rFonts w:ascii="Arial" w:hAnsi="Arial" w:cs="Arial"/>
          <w:szCs w:val="22"/>
        </w:rPr>
        <w:t>Pro Senectute Thurgau ist seit 2004 für den sorgfältigen Umgang mit ihren Finanzen und Ressourcen mit dem ZEWO-Gütesiegel zertifiziert. Dieses zeichnet gemeinnützige Organisationen für ihren gewissenhaften Umgang mit Spendengeldern aus.</w:t>
      </w:r>
    </w:p>
    <w:p w14:paraId="1B78033A" w14:textId="77777777" w:rsidR="0046534E" w:rsidRPr="0046534E" w:rsidRDefault="0046534E" w:rsidP="0046534E">
      <w:pPr>
        <w:pBdr>
          <w:top w:val="single" w:sz="4" w:space="1" w:color="auto"/>
          <w:left w:val="single" w:sz="4" w:space="4" w:color="auto"/>
          <w:bottom w:val="single" w:sz="4" w:space="1" w:color="auto"/>
          <w:right w:val="single" w:sz="4" w:space="4" w:color="auto"/>
        </w:pBdr>
        <w:shd w:val="clear" w:color="auto" w:fill="CCCCCC"/>
        <w:rPr>
          <w:rFonts w:ascii="Arial" w:hAnsi="Arial" w:cs="Arial"/>
        </w:rPr>
      </w:pPr>
      <w:r w:rsidRPr="0046534E">
        <w:rPr>
          <w:rFonts w:ascii="Arial" w:hAnsi="Arial" w:cs="Arial"/>
        </w:rPr>
        <w:t>Pro Senectute - allgemein</w:t>
      </w:r>
    </w:p>
    <w:p w14:paraId="662099D1" w14:textId="343419E5" w:rsidR="0046534E" w:rsidRPr="0046534E" w:rsidRDefault="0046534E" w:rsidP="0046534E">
      <w:pPr>
        <w:pStyle w:val="PSCLauftext"/>
        <w:pBdr>
          <w:top w:val="single" w:sz="4" w:space="1" w:color="auto"/>
          <w:left w:val="single" w:sz="4" w:space="4" w:color="auto"/>
          <w:bottom w:val="single" w:sz="4" w:space="1" w:color="auto"/>
          <w:right w:val="single" w:sz="4" w:space="4" w:color="auto"/>
        </w:pBdr>
        <w:rPr>
          <w:rFonts w:ascii="Arial" w:eastAsia="Times New Roman" w:hAnsi="Arial" w:cs="Arial"/>
          <w:sz w:val="24"/>
          <w:szCs w:val="22"/>
          <w:lang w:eastAsia="de-CH"/>
        </w:rPr>
      </w:pPr>
      <w:r w:rsidRPr="0046534E">
        <w:rPr>
          <w:rFonts w:ascii="Arial" w:eastAsia="Times New Roman" w:hAnsi="Arial" w:cs="Arial"/>
          <w:sz w:val="24"/>
          <w:szCs w:val="22"/>
          <w:lang w:eastAsia="de-CH"/>
        </w:rPr>
        <w:t xml:space="preserve">Pro Senectute setzt sich seit </w:t>
      </w:r>
      <w:r w:rsidR="00867E75">
        <w:rPr>
          <w:rFonts w:ascii="Arial" w:eastAsia="Times New Roman" w:hAnsi="Arial" w:cs="Arial"/>
          <w:sz w:val="24"/>
          <w:szCs w:val="22"/>
          <w:lang w:eastAsia="de-CH"/>
        </w:rPr>
        <w:t>über</w:t>
      </w:r>
      <w:r w:rsidRPr="0046534E">
        <w:rPr>
          <w:rFonts w:ascii="Arial" w:eastAsia="Times New Roman" w:hAnsi="Arial" w:cs="Arial"/>
          <w:sz w:val="24"/>
          <w:szCs w:val="22"/>
          <w:lang w:eastAsia="de-CH"/>
        </w:rPr>
        <w:t xml:space="preserve"> 100 Jahren für ältere Menschen ein. Wir sind die grösste Fach- und Dienstleistungsorganisation der Schweiz für Senioren und deren Angehörige und beraten diese kostenlos in unseren 130 Beratungsstellen schweizweit. Mit vielfältigen Dienstleistungen und spezifischen Angeboten unterstützen über 1‘600 Mitarbeiterinnen und Mitarbeiter sowie 15‘000 Freiwillige die ältere Bevölkerung in allen Belangen rund um das Alter. Rund 700‘000 Menschen im Pensionsalter sowie deren Angehörige nutzen die Angebote. Pro Senectute ist mit dem ZEWO-Gütesiegel zertifiziert.</w:t>
      </w:r>
    </w:p>
    <w:p w14:paraId="0BB9C749" w14:textId="77777777" w:rsidR="0046534E" w:rsidRPr="0046534E" w:rsidRDefault="0046534E" w:rsidP="0046534E">
      <w:pPr>
        <w:rPr>
          <w:rFonts w:ascii="Arial" w:hAnsi="Arial" w:cs="Arial"/>
        </w:rPr>
      </w:pPr>
    </w:p>
    <w:p w14:paraId="711F059F" w14:textId="77777777" w:rsidR="00CB43A0" w:rsidRPr="0046534E" w:rsidRDefault="00CB43A0" w:rsidP="00CB43A0">
      <w:pPr>
        <w:autoSpaceDE w:val="0"/>
        <w:autoSpaceDN w:val="0"/>
        <w:adjustRightInd w:val="0"/>
        <w:jc w:val="both"/>
        <w:rPr>
          <w:rFonts w:ascii="Arial" w:hAnsi="Arial" w:cs="Arial"/>
          <w:szCs w:val="22"/>
        </w:rPr>
      </w:pPr>
    </w:p>
    <w:p w14:paraId="4E279740" w14:textId="77777777" w:rsidR="007F073A" w:rsidRPr="0046534E" w:rsidRDefault="007F073A" w:rsidP="00CB43A0">
      <w:pPr>
        <w:pStyle w:val="PSCLauftext"/>
        <w:spacing w:afterLines="60" w:after="144"/>
        <w:rPr>
          <w:rFonts w:ascii="Arial" w:hAnsi="Arial" w:cs="Arial"/>
        </w:rPr>
      </w:pPr>
    </w:p>
    <w:p w14:paraId="5FE26111" w14:textId="77777777" w:rsidR="00F03DBF" w:rsidRPr="0046534E" w:rsidRDefault="00F03DBF" w:rsidP="007F073A">
      <w:pPr>
        <w:pStyle w:val="PSCLauftext"/>
        <w:rPr>
          <w:rFonts w:ascii="Arial" w:hAnsi="Arial" w:cs="Arial"/>
          <w:b/>
        </w:rPr>
      </w:pPr>
    </w:p>
    <w:p w14:paraId="0AB2BBD2" w14:textId="77777777" w:rsidR="00CB43A0" w:rsidRPr="0046534E" w:rsidRDefault="00CB43A0" w:rsidP="004F0554">
      <w:pPr>
        <w:rPr>
          <w:rFonts w:ascii="Arial" w:hAnsi="Arial" w:cs="Arial"/>
          <w:b/>
          <w:szCs w:val="22"/>
        </w:rPr>
        <w:sectPr w:rsidR="00CB43A0" w:rsidRPr="0046534E" w:rsidSect="00FC1C3E">
          <w:footerReference w:type="default" r:id="rId8"/>
          <w:pgSz w:w="11906" w:h="16838" w:code="9"/>
          <w:pgMar w:top="993" w:right="1134" w:bottom="851" w:left="1418" w:header="624" w:footer="567" w:gutter="0"/>
          <w:cols w:space="720"/>
          <w:titlePg/>
        </w:sectPr>
      </w:pPr>
    </w:p>
    <w:p w14:paraId="05DC1752" w14:textId="77777777" w:rsidR="004F0554" w:rsidRPr="0046534E" w:rsidRDefault="004F0554" w:rsidP="004F0554">
      <w:pPr>
        <w:rPr>
          <w:rFonts w:ascii="Arial" w:hAnsi="Arial" w:cs="Arial"/>
          <w:b/>
          <w:szCs w:val="22"/>
        </w:rPr>
      </w:pPr>
      <w:r w:rsidRPr="0046534E">
        <w:rPr>
          <w:rFonts w:ascii="Arial" w:hAnsi="Arial" w:cs="Arial"/>
          <w:b/>
          <w:szCs w:val="22"/>
        </w:rPr>
        <w:t>Kontakt für die Medien:</w:t>
      </w:r>
    </w:p>
    <w:p w14:paraId="677768D2" w14:textId="77777777" w:rsidR="004F0554" w:rsidRPr="0046534E" w:rsidRDefault="004F0554" w:rsidP="00345AA6">
      <w:pPr>
        <w:rPr>
          <w:rFonts w:ascii="Arial" w:hAnsi="Arial" w:cs="Arial"/>
          <w:szCs w:val="22"/>
        </w:rPr>
      </w:pPr>
      <w:r w:rsidRPr="0046534E">
        <w:rPr>
          <w:rFonts w:ascii="Arial" w:hAnsi="Arial" w:cs="Arial"/>
          <w:szCs w:val="22"/>
        </w:rPr>
        <w:t>Pro Senectute Thurgau</w:t>
      </w:r>
    </w:p>
    <w:p w14:paraId="6AFD3DCB" w14:textId="77777777" w:rsidR="004F0554" w:rsidRPr="00867E75" w:rsidRDefault="007F073A" w:rsidP="00345AA6">
      <w:pPr>
        <w:rPr>
          <w:rFonts w:ascii="Arial" w:hAnsi="Arial" w:cs="Arial"/>
          <w:szCs w:val="22"/>
        </w:rPr>
      </w:pPr>
      <w:r w:rsidRPr="00867E75">
        <w:rPr>
          <w:rFonts w:ascii="Arial" w:hAnsi="Arial" w:cs="Arial"/>
          <w:szCs w:val="22"/>
        </w:rPr>
        <w:t>Raphael Herzog, Geschäftsführer</w:t>
      </w:r>
    </w:p>
    <w:p w14:paraId="1038781B" w14:textId="77777777" w:rsidR="004F0554" w:rsidRPr="00867E75" w:rsidRDefault="007F073A" w:rsidP="00345AA6">
      <w:pPr>
        <w:rPr>
          <w:rFonts w:ascii="Arial" w:hAnsi="Arial" w:cs="Arial"/>
          <w:szCs w:val="22"/>
        </w:rPr>
      </w:pPr>
      <w:r w:rsidRPr="00867E75">
        <w:rPr>
          <w:rFonts w:ascii="Arial" w:hAnsi="Arial" w:cs="Arial"/>
          <w:szCs w:val="22"/>
        </w:rPr>
        <w:t>Telefon: 071 626 10 88</w:t>
      </w:r>
    </w:p>
    <w:p w14:paraId="616451E3" w14:textId="37B4A366" w:rsidR="004F0554" w:rsidRPr="00867E75" w:rsidRDefault="004F0554" w:rsidP="00345AA6">
      <w:pPr>
        <w:rPr>
          <w:rFonts w:ascii="Arial" w:hAnsi="Arial" w:cs="Arial"/>
          <w:szCs w:val="22"/>
        </w:rPr>
      </w:pPr>
      <w:r w:rsidRPr="00867E75">
        <w:rPr>
          <w:rFonts w:ascii="Arial" w:hAnsi="Arial" w:cs="Arial"/>
          <w:szCs w:val="22"/>
        </w:rPr>
        <w:t xml:space="preserve">E-Mail: </w:t>
      </w:r>
      <w:hyperlink r:id="rId9" w:history="1">
        <w:r w:rsidR="00867E75" w:rsidRPr="00867E75">
          <w:rPr>
            <w:rStyle w:val="Hyperlink"/>
            <w:rFonts w:ascii="Arial" w:hAnsi="Arial" w:cs="Arial"/>
            <w:szCs w:val="22"/>
          </w:rPr>
          <w:t>info@pstg.ch</w:t>
        </w:r>
      </w:hyperlink>
    </w:p>
    <w:p w14:paraId="60A66680" w14:textId="77777777" w:rsidR="004F0554" w:rsidRPr="00867E75" w:rsidRDefault="004F0554" w:rsidP="004F0554">
      <w:pPr>
        <w:spacing w:after="40"/>
        <w:rPr>
          <w:rFonts w:ascii="Arial" w:hAnsi="Arial" w:cs="Arial"/>
          <w:szCs w:val="22"/>
        </w:rPr>
      </w:pPr>
    </w:p>
    <w:p w14:paraId="6AB7320F" w14:textId="77777777" w:rsidR="00CB43A0" w:rsidRPr="00867E75" w:rsidRDefault="00CB43A0" w:rsidP="004F0554">
      <w:pPr>
        <w:rPr>
          <w:rFonts w:ascii="Arial" w:hAnsi="Arial" w:cs="Arial"/>
          <w:szCs w:val="22"/>
        </w:rPr>
      </w:pPr>
    </w:p>
    <w:p w14:paraId="1108696E" w14:textId="77777777" w:rsidR="00345AA6" w:rsidRPr="00867E75" w:rsidRDefault="00345AA6" w:rsidP="004F0554">
      <w:pPr>
        <w:rPr>
          <w:rFonts w:ascii="Arial" w:hAnsi="Arial" w:cs="Arial"/>
          <w:szCs w:val="22"/>
        </w:rPr>
      </w:pPr>
    </w:p>
    <w:p w14:paraId="0AC15DBB" w14:textId="77777777" w:rsidR="00CB43A0" w:rsidRPr="00867E75" w:rsidRDefault="00CB43A0" w:rsidP="004F0554">
      <w:pPr>
        <w:spacing w:after="40"/>
        <w:rPr>
          <w:rFonts w:ascii="Arial" w:hAnsi="Arial" w:cs="Arial"/>
          <w:szCs w:val="22"/>
        </w:rPr>
        <w:sectPr w:rsidR="00CB43A0" w:rsidRPr="00867E75" w:rsidSect="00CB43A0">
          <w:type w:val="continuous"/>
          <w:pgSz w:w="11906" w:h="16838" w:code="9"/>
          <w:pgMar w:top="993" w:right="1134" w:bottom="851" w:left="1418" w:header="624" w:footer="567" w:gutter="0"/>
          <w:cols w:num="2" w:space="720"/>
          <w:titlePg/>
        </w:sectPr>
      </w:pPr>
    </w:p>
    <w:p w14:paraId="37358E53" w14:textId="77777777" w:rsidR="006C3FBA" w:rsidRPr="00867E75" w:rsidRDefault="006C3FBA" w:rsidP="006C3FBA">
      <w:pPr>
        <w:rPr>
          <w:rFonts w:ascii="Arial" w:hAnsi="Arial" w:cs="Arial"/>
          <w:szCs w:val="22"/>
        </w:rPr>
      </w:pPr>
    </w:p>
    <w:p w14:paraId="1CA1D342" w14:textId="553ABEEC" w:rsidR="006C3FBA" w:rsidRPr="0046534E" w:rsidRDefault="006C3FBA" w:rsidP="00867E75">
      <w:pPr>
        <w:rPr>
          <w:rFonts w:ascii="Arial" w:hAnsi="Arial" w:cs="Arial"/>
          <w:szCs w:val="22"/>
        </w:rPr>
      </w:pPr>
      <w:r w:rsidRPr="0046534E">
        <w:rPr>
          <w:rFonts w:ascii="Arial" w:hAnsi="Arial" w:cs="Arial"/>
          <w:szCs w:val="22"/>
        </w:rPr>
        <w:t xml:space="preserve">Die Medienmitteilung und weitere Informationen finden Sie unter:  </w:t>
      </w:r>
      <w:hyperlink r:id="rId10" w:history="1">
        <w:r w:rsidR="00867E75" w:rsidRPr="00650C56">
          <w:rPr>
            <w:rStyle w:val="Hyperlink"/>
            <w:rFonts w:ascii="Arial" w:hAnsi="Arial" w:cs="Arial"/>
            <w:szCs w:val="22"/>
          </w:rPr>
          <w:t>www.pstg.ch</w:t>
        </w:r>
      </w:hyperlink>
    </w:p>
    <w:sectPr w:rsidR="006C3FBA" w:rsidRPr="0046534E" w:rsidSect="00CB43A0">
      <w:type w:val="continuous"/>
      <w:pgSz w:w="11906" w:h="16838" w:code="9"/>
      <w:pgMar w:top="993" w:right="1134" w:bottom="851" w:left="1418" w:header="624"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E1A50" w14:textId="77777777" w:rsidR="00D53C71" w:rsidRDefault="00D53C71">
      <w:r>
        <w:separator/>
      </w:r>
    </w:p>
  </w:endnote>
  <w:endnote w:type="continuationSeparator" w:id="0">
    <w:p w14:paraId="229BBAF5" w14:textId="77777777" w:rsidR="00D53C71" w:rsidRDefault="00D53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utura Bk BT">
    <w:altName w:val="Segoe UI"/>
    <w:charset w:val="00"/>
    <w:family w:val="swiss"/>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eueSans Pro Normal">
    <w:charset w:val="00"/>
    <w:family w:val="auto"/>
    <w:pitch w:val="variable"/>
    <w:sig w:usb0="A00000AF" w:usb1="4000204B" w:usb2="00000000" w:usb3="00000000" w:csb0="0000009B" w:csb1="00000000"/>
  </w:font>
  <w:font w:name="Calibri">
    <w:panose1 w:val="020F0502020204030204"/>
    <w:charset w:val="00"/>
    <w:family w:val="swiss"/>
    <w:pitch w:val="variable"/>
    <w:sig w:usb0="E4002EFF" w:usb1="C200247B" w:usb2="00000009" w:usb3="00000000" w:csb0="000001FF" w:csb1="00000000"/>
  </w:font>
  <w:font w:name="NeueSans Pro SemiBold">
    <w:altName w:val="Times New Roman"/>
    <w:charset w:val="00"/>
    <w:family w:val="auto"/>
    <w:pitch w:val="variable"/>
    <w:sig w:usb0="00000001" w:usb1="4000204B"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2F6E3" w14:textId="77777777" w:rsidR="002A0B83" w:rsidRDefault="002A0B83" w:rsidP="00B66721">
    <w:pPr>
      <w:pStyle w:val="Fuzeile"/>
      <w:tabs>
        <w:tab w:val="clear" w:pos="9071"/>
        <w:tab w:val="right" w:pos="9356"/>
      </w:tabs>
    </w:pPr>
    <w:r>
      <w:tab/>
    </w:r>
    <w:r>
      <w:tab/>
      <w:t xml:space="preserve">Seite </w:t>
    </w:r>
    <w:r>
      <w:rPr>
        <w:rStyle w:val="Seitenzahl"/>
      </w:rPr>
      <w:fldChar w:fldCharType="begin"/>
    </w:r>
    <w:r>
      <w:rPr>
        <w:rStyle w:val="Seitenzahl"/>
      </w:rPr>
      <w:instrText xml:space="preserve"> PAGE </w:instrText>
    </w:r>
    <w:r>
      <w:rPr>
        <w:rStyle w:val="Seitenzahl"/>
      </w:rPr>
      <w:fldChar w:fldCharType="separate"/>
    </w:r>
    <w:r w:rsidR="0046534E">
      <w:rPr>
        <w:rStyle w:val="Seitenzahl"/>
        <w:noProof/>
      </w:rPr>
      <w:t>3</w:t>
    </w:r>
    <w:r>
      <w:rPr>
        <w:rStyle w:val="Seitenzah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1C918" w14:textId="77777777" w:rsidR="00D53C71" w:rsidRDefault="00D53C71">
      <w:r>
        <w:separator/>
      </w:r>
    </w:p>
  </w:footnote>
  <w:footnote w:type="continuationSeparator" w:id="0">
    <w:p w14:paraId="68726D0E" w14:textId="77777777" w:rsidR="00D53C71" w:rsidRDefault="00D53C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B2D298D4"/>
    <w:lvl w:ilvl="0">
      <w:start w:val="1"/>
      <w:numFmt w:val="decimal"/>
      <w:pStyle w:val="berschrift1"/>
      <w:lvlText w:val="%1."/>
      <w:lvlJc w:val="left"/>
      <w:pPr>
        <w:tabs>
          <w:tab w:val="num" w:pos="1134"/>
        </w:tabs>
        <w:ind w:left="1134" w:hanging="1134"/>
      </w:pPr>
      <w:rPr>
        <w:rFonts w:hint="default"/>
      </w:rPr>
    </w:lvl>
    <w:lvl w:ilvl="1">
      <w:start w:val="1"/>
      <w:numFmt w:val="decimal"/>
      <w:pStyle w:val="berschrift2"/>
      <w:lvlText w:val="%1.%2."/>
      <w:lvlJc w:val="left"/>
      <w:pPr>
        <w:tabs>
          <w:tab w:val="num" w:pos="1134"/>
        </w:tabs>
        <w:ind w:left="1134" w:hanging="1134"/>
      </w:pPr>
      <w:rPr>
        <w:rFonts w:hint="default"/>
      </w:rPr>
    </w:lvl>
    <w:lvl w:ilvl="2">
      <w:start w:val="1"/>
      <w:numFmt w:val="decimal"/>
      <w:pStyle w:val="berschrift3"/>
      <w:lvlText w:val="%1.%2.%3."/>
      <w:lvlJc w:val="left"/>
      <w:pPr>
        <w:tabs>
          <w:tab w:val="num" w:pos="1134"/>
        </w:tabs>
        <w:ind w:left="1134" w:hanging="1134"/>
      </w:pPr>
      <w:rPr>
        <w:rFonts w:hint="default"/>
      </w:rPr>
    </w:lvl>
    <w:lvl w:ilvl="3">
      <w:start w:val="1"/>
      <w:numFmt w:val="lowerLetter"/>
      <w:pStyle w:val="berschrift4"/>
      <w:lvlText w:val="%4)"/>
      <w:lvlJc w:val="left"/>
      <w:pPr>
        <w:tabs>
          <w:tab w:val="num" w:pos="0"/>
        </w:tabs>
        <w:ind w:left="708" w:hanging="708"/>
      </w:pPr>
      <w:rPr>
        <w:rFonts w:hint="default"/>
      </w:rPr>
    </w:lvl>
    <w:lvl w:ilvl="4">
      <w:start w:val="1"/>
      <w:numFmt w:val="decimal"/>
      <w:pStyle w:val="berschrift5"/>
      <w:lvlText w:val="(%5)"/>
      <w:lvlJc w:val="left"/>
      <w:pPr>
        <w:tabs>
          <w:tab w:val="num" w:pos="0"/>
        </w:tabs>
        <w:ind w:left="1416" w:hanging="708"/>
      </w:pPr>
      <w:rPr>
        <w:rFonts w:hint="default"/>
      </w:rPr>
    </w:lvl>
    <w:lvl w:ilvl="5">
      <w:start w:val="1"/>
      <w:numFmt w:val="lowerLetter"/>
      <w:pStyle w:val="berschrift6"/>
      <w:lvlText w:val="(%6)"/>
      <w:lvlJc w:val="left"/>
      <w:pPr>
        <w:tabs>
          <w:tab w:val="num" w:pos="0"/>
        </w:tabs>
        <w:ind w:left="2124" w:hanging="708"/>
      </w:pPr>
      <w:rPr>
        <w:rFonts w:hint="default"/>
      </w:rPr>
    </w:lvl>
    <w:lvl w:ilvl="6">
      <w:start w:val="1"/>
      <w:numFmt w:val="lowerRoman"/>
      <w:pStyle w:val="berschrift7"/>
      <w:lvlText w:val="(%7)"/>
      <w:lvlJc w:val="left"/>
      <w:pPr>
        <w:tabs>
          <w:tab w:val="num" w:pos="0"/>
        </w:tabs>
        <w:ind w:left="2832" w:hanging="708"/>
      </w:pPr>
      <w:rPr>
        <w:rFonts w:hint="default"/>
      </w:rPr>
    </w:lvl>
    <w:lvl w:ilvl="7">
      <w:start w:val="1"/>
      <w:numFmt w:val="lowerLetter"/>
      <w:pStyle w:val="berschrift8"/>
      <w:lvlText w:val="(%8)"/>
      <w:lvlJc w:val="left"/>
      <w:pPr>
        <w:tabs>
          <w:tab w:val="num" w:pos="0"/>
        </w:tabs>
        <w:ind w:left="3540" w:hanging="708"/>
      </w:pPr>
      <w:rPr>
        <w:rFonts w:hint="default"/>
      </w:rPr>
    </w:lvl>
    <w:lvl w:ilvl="8">
      <w:start w:val="1"/>
      <w:numFmt w:val="lowerRoman"/>
      <w:pStyle w:val="berschrift9"/>
      <w:lvlText w:val="(%9)"/>
      <w:lvlJc w:val="left"/>
      <w:pPr>
        <w:tabs>
          <w:tab w:val="num" w:pos="0"/>
        </w:tabs>
        <w:ind w:left="4248" w:hanging="708"/>
      </w:pPr>
      <w:rPr>
        <w:rFonts w:hint="default"/>
      </w:rPr>
    </w:lvl>
  </w:abstractNum>
  <w:abstractNum w:abstractNumId="1" w15:restartNumberingAfterBreak="0">
    <w:nsid w:val="13F0119A"/>
    <w:multiLevelType w:val="hybridMultilevel"/>
    <w:tmpl w:val="FB0C83AA"/>
    <w:lvl w:ilvl="0" w:tplc="3B86F468">
      <w:start w:val="1"/>
      <w:numFmt w:val="bullet"/>
      <w:lvlText w:val="q"/>
      <w:lvlJc w:val="left"/>
      <w:pPr>
        <w:ind w:left="360" w:hanging="360"/>
      </w:pPr>
      <w:rPr>
        <w:rFonts w:ascii="Wingdings" w:hAnsi="Wingdings"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 w15:restartNumberingAfterBreak="0">
    <w:nsid w:val="1B9A1F6F"/>
    <w:multiLevelType w:val="multilevel"/>
    <w:tmpl w:val="9A9001A0"/>
    <w:lvl w:ilvl="0">
      <w:start w:val="1"/>
      <w:numFmt w:val="decimal"/>
      <w:lvlText w:val="%1."/>
      <w:lvlJc w:val="left"/>
      <w:pPr>
        <w:tabs>
          <w:tab w:val="num" w:pos="0"/>
        </w:tabs>
        <w:ind w:left="1418" w:hanging="1418"/>
      </w:pPr>
      <w:rPr>
        <w:rFonts w:hint="default"/>
      </w:rPr>
    </w:lvl>
    <w:lvl w:ilvl="1">
      <w:start w:val="1"/>
      <w:numFmt w:val="decimal"/>
      <w:lvlText w:val="%1.%2."/>
      <w:lvlJc w:val="left"/>
      <w:pPr>
        <w:tabs>
          <w:tab w:val="num" w:pos="0"/>
        </w:tabs>
        <w:ind w:left="1418" w:hanging="1418"/>
      </w:pPr>
      <w:rPr>
        <w:rFonts w:hint="default"/>
      </w:rPr>
    </w:lvl>
    <w:lvl w:ilvl="2">
      <w:start w:val="1"/>
      <w:numFmt w:val="decimal"/>
      <w:lvlText w:val="%1.%2.%3."/>
      <w:lvlJc w:val="left"/>
      <w:pPr>
        <w:tabs>
          <w:tab w:val="num" w:pos="0"/>
        </w:tabs>
        <w:ind w:left="1418" w:hanging="1418"/>
      </w:pPr>
      <w:rPr>
        <w:rFonts w:hint="default"/>
      </w:rPr>
    </w:lvl>
    <w:lvl w:ilvl="3">
      <w:start w:val="1"/>
      <w:numFmt w:val="lowerLetter"/>
      <w:lvlText w:val="%4)"/>
      <w:lvlJc w:val="left"/>
      <w:pPr>
        <w:tabs>
          <w:tab w:val="num" w:pos="0"/>
        </w:tabs>
        <w:ind w:left="708" w:hanging="708"/>
      </w:pPr>
      <w:rPr>
        <w:rFonts w:hint="default"/>
      </w:rPr>
    </w:lvl>
    <w:lvl w:ilvl="4">
      <w:start w:val="1"/>
      <w:numFmt w:val="decimal"/>
      <w:lvlText w:val="(%5)"/>
      <w:lvlJc w:val="left"/>
      <w:pPr>
        <w:tabs>
          <w:tab w:val="num" w:pos="0"/>
        </w:tabs>
        <w:ind w:left="1416" w:hanging="708"/>
      </w:pPr>
      <w:rPr>
        <w:rFonts w:hint="default"/>
      </w:rPr>
    </w:lvl>
    <w:lvl w:ilvl="5">
      <w:start w:val="1"/>
      <w:numFmt w:val="lowerLetter"/>
      <w:lvlText w:val="(%6)"/>
      <w:lvlJc w:val="left"/>
      <w:pPr>
        <w:tabs>
          <w:tab w:val="num" w:pos="0"/>
        </w:tabs>
        <w:ind w:left="2124" w:hanging="708"/>
      </w:pPr>
      <w:rPr>
        <w:rFonts w:hint="default"/>
      </w:rPr>
    </w:lvl>
    <w:lvl w:ilvl="6">
      <w:start w:val="1"/>
      <w:numFmt w:val="lowerRoman"/>
      <w:lvlText w:val="(%7)"/>
      <w:lvlJc w:val="left"/>
      <w:pPr>
        <w:tabs>
          <w:tab w:val="num" w:pos="0"/>
        </w:tabs>
        <w:ind w:left="2832" w:hanging="708"/>
      </w:pPr>
      <w:rPr>
        <w:rFonts w:hint="default"/>
      </w:rPr>
    </w:lvl>
    <w:lvl w:ilvl="7">
      <w:start w:val="1"/>
      <w:numFmt w:val="lowerLetter"/>
      <w:lvlText w:val="(%8)"/>
      <w:lvlJc w:val="left"/>
      <w:pPr>
        <w:tabs>
          <w:tab w:val="num" w:pos="0"/>
        </w:tabs>
        <w:ind w:left="3540" w:hanging="708"/>
      </w:pPr>
      <w:rPr>
        <w:rFonts w:hint="default"/>
      </w:rPr>
    </w:lvl>
    <w:lvl w:ilvl="8">
      <w:start w:val="1"/>
      <w:numFmt w:val="lowerRoman"/>
      <w:lvlText w:val="(%9)"/>
      <w:lvlJc w:val="left"/>
      <w:pPr>
        <w:tabs>
          <w:tab w:val="num" w:pos="0"/>
        </w:tabs>
        <w:ind w:left="4248" w:hanging="708"/>
      </w:pPr>
      <w:rPr>
        <w:rFonts w:hint="default"/>
      </w:rPr>
    </w:lvl>
  </w:abstractNum>
  <w:abstractNum w:abstractNumId="3" w15:restartNumberingAfterBreak="0">
    <w:nsid w:val="3460145A"/>
    <w:multiLevelType w:val="hybridMultilevel"/>
    <w:tmpl w:val="03402A2A"/>
    <w:lvl w:ilvl="0" w:tplc="3B86F468">
      <w:start w:val="1"/>
      <w:numFmt w:val="bullet"/>
      <w:lvlText w:val="q"/>
      <w:lvlJc w:val="left"/>
      <w:pPr>
        <w:ind w:left="360" w:hanging="360"/>
      </w:pPr>
      <w:rPr>
        <w:rFonts w:ascii="Wingdings" w:hAnsi="Wingdings"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4" w15:restartNumberingAfterBreak="0">
    <w:nsid w:val="3AFC1626"/>
    <w:multiLevelType w:val="multilevel"/>
    <w:tmpl w:val="4FA03ECA"/>
    <w:lvl w:ilvl="0">
      <w:start w:val="1"/>
      <w:numFmt w:val="decimal"/>
      <w:lvlText w:val="%1."/>
      <w:lvlJc w:val="left"/>
      <w:pPr>
        <w:tabs>
          <w:tab w:val="num" w:pos="1418"/>
        </w:tabs>
        <w:ind w:left="1418" w:hanging="1418"/>
      </w:pPr>
      <w:rPr>
        <w:rFonts w:hint="default"/>
      </w:rPr>
    </w:lvl>
    <w:lvl w:ilvl="1">
      <w:start w:val="1"/>
      <w:numFmt w:val="decimal"/>
      <w:lvlText w:val="%1.%2."/>
      <w:lvlJc w:val="left"/>
      <w:pPr>
        <w:tabs>
          <w:tab w:val="num" w:pos="1418"/>
        </w:tabs>
        <w:ind w:left="1418" w:hanging="1418"/>
      </w:pPr>
      <w:rPr>
        <w:rFonts w:hint="default"/>
      </w:rPr>
    </w:lvl>
    <w:lvl w:ilvl="2">
      <w:start w:val="1"/>
      <w:numFmt w:val="decimal"/>
      <w:lvlText w:val="%1.%2.%3."/>
      <w:lvlJc w:val="left"/>
      <w:pPr>
        <w:tabs>
          <w:tab w:val="num" w:pos="1418"/>
        </w:tabs>
        <w:ind w:left="1418" w:hanging="1418"/>
      </w:pPr>
      <w:rPr>
        <w:rFonts w:hint="default"/>
      </w:rPr>
    </w:lvl>
    <w:lvl w:ilvl="3">
      <w:start w:val="1"/>
      <w:numFmt w:val="lowerLetter"/>
      <w:lvlText w:val="%4)"/>
      <w:lvlJc w:val="left"/>
      <w:pPr>
        <w:tabs>
          <w:tab w:val="num" w:pos="0"/>
        </w:tabs>
        <w:ind w:left="708" w:hanging="708"/>
      </w:pPr>
      <w:rPr>
        <w:rFonts w:hint="default"/>
      </w:rPr>
    </w:lvl>
    <w:lvl w:ilvl="4">
      <w:start w:val="1"/>
      <w:numFmt w:val="decimal"/>
      <w:lvlText w:val="(%5)"/>
      <w:lvlJc w:val="left"/>
      <w:pPr>
        <w:tabs>
          <w:tab w:val="num" w:pos="0"/>
        </w:tabs>
        <w:ind w:left="1416" w:hanging="708"/>
      </w:pPr>
      <w:rPr>
        <w:rFonts w:hint="default"/>
      </w:rPr>
    </w:lvl>
    <w:lvl w:ilvl="5">
      <w:start w:val="1"/>
      <w:numFmt w:val="lowerLetter"/>
      <w:lvlText w:val="(%6)"/>
      <w:lvlJc w:val="left"/>
      <w:pPr>
        <w:tabs>
          <w:tab w:val="num" w:pos="0"/>
        </w:tabs>
        <w:ind w:left="2124" w:hanging="708"/>
      </w:pPr>
      <w:rPr>
        <w:rFonts w:hint="default"/>
      </w:rPr>
    </w:lvl>
    <w:lvl w:ilvl="6">
      <w:start w:val="1"/>
      <w:numFmt w:val="lowerRoman"/>
      <w:lvlText w:val="(%7)"/>
      <w:lvlJc w:val="left"/>
      <w:pPr>
        <w:tabs>
          <w:tab w:val="num" w:pos="0"/>
        </w:tabs>
        <w:ind w:left="2832" w:hanging="708"/>
      </w:pPr>
      <w:rPr>
        <w:rFonts w:hint="default"/>
      </w:rPr>
    </w:lvl>
    <w:lvl w:ilvl="7">
      <w:start w:val="1"/>
      <w:numFmt w:val="lowerLetter"/>
      <w:lvlText w:val="(%8)"/>
      <w:lvlJc w:val="left"/>
      <w:pPr>
        <w:tabs>
          <w:tab w:val="num" w:pos="0"/>
        </w:tabs>
        <w:ind w:left="3540" w:hanging="708"/>
      </w:pPr>
      <w:rPr>
        <w:rFonts w:hint="default"/>
      </w:rPr>
    </w:lvl>
    <w:lvl w:ilvl="8">
      <w:start w:val="1"/>
      <w:numFmt w:val="lowerRoman"/>
      <w:lvlText w:val="(%9)"/>
      <w:lvlJc w:val="left"/>
      <w:pPr>
        <w:tabs>
          <w:tab w:val="num" w:pos="0"/>
        </w:tabs>
        <w:ind w:left="4248" w:hanging="708"/>
      </w:pPr>
      <w:rPr>
        <w:rFonts w:hint="default"/>
      </w:rPr>
    </w:lvl>
  </w:abstractNum>
  <w:abstractNum w:abstractNumId="5" w15:restartNumberingAfterBreak="0">
    <w:nsid w:val="52704B7E"/>
    <w:multiLevelType w:val="multilevel"/>
    <w:tmpl w:val="FFFFFFFF"/>
    <w:lvl w:ilvl="0">
      <w:start w:val="1"/>
      <w:numFmt w:val="decimal"/>
      <w:lvlText w:val="%1."/>
      <w:legacy w:legacy="1" w:legacySpace="737" w:legacyIndent="0"/>
      <w:lvlJc w:val="left"/>
    </w:lvl>
    <w:lvl w:ilvl="1">
      <w:start w:val="1"/>
      <w:numFmt w:val="decimal"/>
      <w:lvlText w:val="%1.%2."/>
      <w:legacy w:legacy="1" w:legacySpace="510" w:legacyIndent="0"/>
      <w:lvlJc w:val="left"/>
    </w:lvl>
    <w:lvl w:ilvl="2">
      <w:start w:val="1"/>
      <w:numFmt w:val="decimal"/>
      <w:lvlText w:val="%1.%2.%3."/>
      <w:legacy w:legacy="1" w:legacySpace="425" w:legacyIndent="0"/>
      <w:lvlJc w:val="left"/>
    </w:lvl>
    <w:lvl w:ilvl="3">
      <w:start w:val="1"/>
      <w:numFmt w:val="lowerLetter"/>
      <w:lvlText w:val="%4)"/>
      <w:legacy w:legacy="1" w:legacySpace="0" w:legacyIndent="708"/>
      <w:lvlJc w:val="left"/>
      <w:pPr>
        <w:ind w:left="708" w:hanging="708"/>
      </w:pPr>
    </w:lvl>
    <w:lvl w:ilvl="4">
      <w:start w:val="1"/>
      <w:numFmt w:val="decimal"/>
      <w:lvlText w:val="(%5)"/>
      <w:legacy w:legacy="1" w:legacySpace="0" w:legacyIndent="708"/>
      <w:lvlJc w:val="left"/>
      <w:pPr>
        <w:ind w:left="1416" w:hanging="708"/>
      </w:pPr>
    </w:lvl>
    <w:lvl w:ilvl="5">
      <w:start w:val="1"/>
      <w:numFmt w:val="lowerLetter"/>
      <w:lvlText w:val="(%6)"/>
      <w:legacy w:legacy="1" w:legacySpace="0" w:legacyIndent="708"/>
      <w:lvlJc w:val="left"/>
      <w:pPr>
        <w:ind w:left="2124" w:hanging="708"/>
      </w:pPr>
    </w:lvl>
    <w:lvl w:ilvl="6">
      <w:start w:val="1"/>
      <w:numFmt w:val="lowerRoman"/>
      <w:lvlText w:val="(%7)"/>
      <w:legacy w:legacy="1" w:legacySpace="0" w:legacyIndent="708"/>
      <w:lvlJc w:val="left"/>
      <w:pPr>
        <w:ind w:left="2832" w:hanging="708"/>
      </w:pPr>
    </w:lvl>
    <w:lvl w:ilvl="7">
      <w:start w:val="1"/>
      <w:numFmt w:val="lowerLetter"/>
      <w:lvlText w:val="(%8)"/>
      <w:legacy w:legacy="1" w:legacySpace="0" w:legacyIndent="708"/>
      <w:lvlJc w:val="left"/>
      <w:pPr>
        <w:ind w:left="3540" w:hanging="708"/>
      </w:pPr>
    </w:lvl>
    <w:lvl w:ilvl="8">
      <w:start w:val="1"/>
      <w:numFmt w:val="lowerRoman"/>
      <w:lvlText w:val="(%9)"/>
      <w:legacy w:legacy="1" w:legacySpace="0" w:legacyIndent="708"/>
      <w:lvlJc w:val="left"/>
      <w:pPr>
        <w:ind w:left="4248" w:hanging="708"/>
      </w:pPr>
    </w:lvl>
  </w:abstractNum>
  <w:abstractNum w:abstractNumId="6" w15:restartNumberingAfterBreak="0">
    <w:nsid w:val="546F7766"/>
    <w:multiLevelType w:val="hybridMultilevel"/>
    <w:tmpl w:val="556A5988"/>
    <w:lvl w:ilvl="0" w:tplc="3B86F468">
      <w:start w:val="1"/>
      <w:numFmt w:val="bullet"/>
      <w:lvlText w:val="q"/>
      <w:lvlJc w:val="left"/>
      <w:pPr>
        <w:ind w:left="360" w:hanging="360"/>
      </w:pPr>
      <w:rPr>
        <w:rFonts w:ascii="Wingdings" w:hAnsi="Wingdings"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7" w15:restartNumberingAfterBreak="0">
    <w:nsid w:val="630B7496"/>
    <w:multiLevelType w:val="multilevel"/>
    <w:tmpl w:val="FFFFFFFF"/>
    <w:lvl w:ilvl="0">
      <w:start w:val="1"/>
      <w:numFmt w:val="decimal"/>
      <w:lvlText w:val="%1."/>
      <w:legacy w:legacy="1" w:legacySpace="737" w:legacyIndent="0"/>
      <w:lvlJc w:val="left"/>
    </w:lvl>
    <w:lvl w:ilvl="1">
      <w:start w:val="1"/>
      <w:numFmt w:val="decimal"/>
      <w:lvlText w:val="%1.%2."/>
      <w:legacy w:legacy="1" w:legacySpace="510" w:legacyIndent="0"/>
      <w:lvlJc w:val="left"/>
    </w:lvl>
    <w:lvl w:ilvl="2">
      <w:start w:val="1"/>
      <w:numFmt w:val="decimal"/>
      <w:lvlText w:val="%1.%2.%3."/>
      <w:legacy w:legacy="1" w:legacySpace="425" w:legacyIndent="0"/>
      <w:lvlJc w:val="left"/>
    </w:lvl>
    <w:lvl w:ilvl="3">
      <w:start w:val="1"/>
      <w:numFmt w:val="lowerLetter"/>
      <w:lvlText w:val="%4)"/>
      <w:legacy w:legacy="1" w:legacySpace="0" w:legacyIndent="708"/>
      <w:lvlJc w:val="left"/>
      <w:pPr>
        <w:ind w:left="708" w:hanging="708"/>
      </w:pPr>
    </w:lvl>
    <w:lvl w:ilvl="4">
      <w:start w:val="1"/>
      <w:numFmt w:val="decimal"/>
      <w:lvlText w:val="(%5)"/>
      <w:legacy w:legacy="1" w:legacySpace="0" w:legacyIndent="708"/>
      <w:lvlJc w:val="left"/>
      <w:pPr>
        <w:ind w:left="1416" w:hanging="708"/>
      </w:pPr>
    </w:lvl>
    <w:lvl w:ilvl="5">
      <w:start w:val="1"/>
      <w:numFmt w:val="lowerLetter"/>
      <w:lvlText w:val="(%6)"/>
      <w:legacy w:legacy="1" w:legacySpace="0" w:legacyIndent="708"/>
      <w:lvlJc w:val="left"/>
      <w:pPr>
        <w:ind w:left="2124" w:hanging="708"/>
      </w:pPr>
    </w:lvl>
    <w:lvl w:ilvl="6">
      <w:start w:val="1"/>
      <w:numFmt w:val="lowerRoman"/>
      <w:lvlText w:val="(%7)"/>
      <w:legacy w:legacy="1" w:legacySpace="0" w:legacyIndent="708"/>
      <w:lvlJc w:val="left"/>
      <w:pPr>
        <w:ind w:left="2832" w:hanging="708"/>
      </w:pPr>
    </w:lvl>
    <w:lvl w:ilvl="7">
      <w:start w:val="1"/>
      <w:numFmt w:val="lowerLetter"/>
      <w:lvlText w:val="(%8)"/>
      <w:legacy w:legacy="1" w:legacySpace="0" w:legacyIndent="708"/>
      <w:lvlJc w:val="left"/>
      <w:pPr>
        <w:ind w:left="3540" w:hanging="708"/>
      </w:pPr>
    </w:lvl>
    <w:lvl w:ilvl="8">
      <w:start w:val="1"/>
      <w:numFmt w:val="lowerRoman"/>
      <w:lvlText w:val="(%9)"/>
      <w:legacy w:legacy="1" w:legacySpace="0" w:legacyIndent="708"/>
      <w:lvlJc w:val="left"/>
      <w:pPr>
        <w:ind w:left="4248" w:hanging="708"/>
      </w:pPr>
    </w:lvl>
  </w:abstractNum>
  <w:abstractNum w:abstractNumId="8" w15:restartNumberingAfterBreak="0">
    <w:nsid w:val="692C0237"/>
    <w:multiLevelType w:val="hybridMultilevel"/>
    <w:tmpl w:val="6038DAE2"/>
    <w:lvl w:ilvl="0" w:tplc="3B86F468">
      <w:start w:val="1"/>
      <w:numFmt w:val="bullet"/>
      <w:lvlText w:val="q"/>
      <w:lvlJc w:val="left"/>
      <w:pPr>
        <w:ind w:left="360" w:hanging="360"/>
      </w:pPr>
      <w:rPr>
        <w:rFonts w:ascii="Wingdings" w:hAnsi="Wingdings"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15:restartNumberingAfterBreak="0">
    <w:nsid w:val="792E3559"/>
    <w:multiLevelType w:val="hybridMultilevel"/>
    <w:tmpl w:val="A6B4CBFC"/>
    <w:lvl w:ilvl="0" w:tplc="3B86F468">
      <w:start w:val="1"/>
      <w:numFmt w:val="bullet"/>
      <w:lvlText w:val="q"/>
      <w:lvlJc w:val="left"/>
      <w:pPr>
        <w:ind w:left="360" w:hanging="360"/>
      </w:pPr>
      <w:rPr>
        <w:rFonts w:ascii="Wingdings" w:hAnsi="Wingdings"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0" w15:restartNumberingAfterBreak="0">
    <w:nsid w:val="7A2F39B4"/>
    <w:multiLevelType w:val="hybridMultilevel"/>
    <w:tmpl w:val="FC201C7E"/>
    <w:lvl w:ilvl="0" w:tplc="D8666C40">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1" w15:restartNumberingAfterBreak="0">
    <w:nsid w:val="7B7764C3"/>
    <w:multiLevelType w:val="multilevel"/>
    <w:tmpl w:val="EB92C6D8"/>
    <w:lvl w:ilvl="0">
      <w:start w:val="1"/>
      <w:numFmt w:val="decimal"/>
      <w:lvlText w:val="%1."/>
      <w:lvlJc w:val="left"/>
      <w:pPr>
        <w:tabs>
          <w:tab w:val="num" w:pos="0"/>
        </w:tabs>
        <w:ind w:left="1134" w:hanging="1134"/>
      </w:pPr>
      <w:rPr>
        <w:rFonts w:hint="default"/>
      </w:rPr>
    </w:lvl>
    <w:lvl w:ilvl="1">
      <w:start w:val="1"/>
      <w:numFmt w:val="decimal"/>
      <w:lvlText w:val="%1.%2."/>
      <w:lvlJc w:val="left"/>
      <w:pPr>
        <w:tabs>
          <w:tab w:val="num" w:pos="0"/>
        </w:tabs>
        <w:ind w:left="1134" w:hanging="1134"/>
      </w:pPr>
      <w:rPr>
        <w:rFonts w:hint="default"/>
      </w:rPr>
    </w:lvl>
    <w:lvl w:ilvl="2">
      <w:start w:val="1"/>
      <w:numFmt w:val="decimal"/>
      <w:lvlText w:val="%1.%2.%3."/>
      <w:lvlJc w:val="left"/>
      <w:pPr>
        <w:tabs>
          <w:tab w:val="num" w:pos="0"/>
        </w:tabs>
        <w:ind w:left="1134" w:hanging="1134"/>
      </w:pPr>
      <w:rPr>
        <w:rFonts w:hint="default"/>
      </w:rPr>
    </w:lvl>
    <w:lvl w:ilvl="3">
      <w:start w:val="1"/>
      <w:numFmt w:val="lowerLetter"/>
      <w:lvlText w:val="%4)"/>
      <w:lvlJc w:val="left"/>
      <w:pPr>
        <w:tabs>
          <w:tab w:val="num" w:pos="0"/>
        </w:tabs>
        <w:ind w:left="708" w:hanging="708"/>
      </w:pPr>
      <w:rPr>
        <w:rFonts w:hint="default"/>
      </w:rPr>
    </w:lvl>
    <w:lvl w:ilvl="4">
      <w:start w:val="1"/>
      <w:numFmt w:val="decimal"/>
      <w:lvlText w:val="(%5)"/>
      <w:lvlJc w:val="left"/>
      <w:pPr>
        <w:tabs>
          <w:tab w:val="num" w:pos="0"/>
        </w:tabs>
        <w:ind w:left="1416" w:hanging="708"/>
      </w:pPr>
      <w:rPr>
        <w:rFonts w:hint="default"/>
      </w:rPr>
    </w:lvl>
    <w:lvl w:ilvl="5">
      <w:start w:val="1"/>
      <w:numFmt w:val="lowerLetter"/>
      <w:lvlText w:val="(%6)"/>
      <w:lvlJc w:val="left"/>
      <w:pPr>
        <w:tabs>
          <w:tab w:val="num" w:pos="0"/>
        </w:tabs>
        <w:ind w:left="2124" w:hanging="708"/>
      </w:pPr>
      <w:rPr>
        <w:rFonts w:hint="default"/>
      </w:rPr>
    </w:lvl>
    <w:lvl w:ilvl="6">
      <w:start w:val="1"/>
      <w:numFmt w:val="lowerRoman"/>
      <w:lvlText w:val="(%7)"/>
      <w:lvlJc w:val="left"/>
      <w:pPr>
        <w:tabs>
          <w:tab w:val="num" w:pos="0"/>
        </w:tabs>
        <w:ind w:left="2832" w:hanging="708"/>
      </w:pPr>
      <w:rPr>
        <w:rFonts w:hint="default"/>
      </w:rPr>
    </w:lvl>
    <w:lvl w:ilvl="7">
      <w:start w:val="1"/>
      <w:numFmt w:val="lowerLetter"/>
      <w:lvlText w:val="(%8)"/>
      <w:lvlJc w:val="left"/>
      <w:pPr>
        <w:tabs>
          <w:tab w:val="num" w:pos="0"/>
        </w:tabs>
        <w:ind w:left="3540" w:hanging="708"/>
      </w:pPr>
      <w:rPr>
        <w:rFonts w:hint="default"/>
      </w:rPr>
    </w:lvl>
    <w:lvl w:ilvl="8">
      <w:start w:val="1"/>
      <w:numFmt w:val="lowerRoman"/>
      <w:lvlText w:val="(%9)"/>
      <w:lvlJc w:val="left"/>
      <w:pPr>
        <w:tabs>
          <w:tab w:val="num" w:pos="0"/>
        </w:tabs>
        <w:ind w:left="4248" w:hanging="708"/>
      </w:pPr>
      <w:rPr>
        <w:rFonts w:hint="default"/>
      </w:rPr>
    </w:lvl>
  </w:abstractNum>
  <w:num w:numId="1" w16cid:durableId="236981903">
    <w:abstractNumId w:val="0"/>
  </w:num>
  <w:num w:numId="2" w16cid:durableId="1113212733">
    <w:abstractNumId w:val="5"/>
  </w:num>
  <w:num w:numId="3" w16cid:durableId="2017031553">
    <w:abstractNumId w:val="7"/>
  </w:num>
  <w:num w:numId="4" w16cid:durableId="1365205263">
    <w:abstractNumId w:val="11"/>
  </w:num>
  <w:num w:numId="5" w16cid:durableId="833451321">
    <w:abstractNumId w:val="2"/>
  </w:num>
  <w:num w:numId="6" w16cid:durableId="1687294399">
    <w:abstractNumId w:val="4"/>
  </w:num>
  <w:num w:numId="7" w16cid:durableId="1695619374">
    <w:abstractNumId w:val="10"/>
  </w:num>
  <w:num w:numId="8" w16cid:durableId="1444885093">
    <w:abstractNumId w:val="9"/>
  </w:num>
  <w:num w:numId="9" w16cid:durableId="1224828604">
    <w:abstractNumId w:val="6"/>
  </w:num>
  <w:num w:numId="10" w16cid:durableId="1580359530">
    <w:abstractNumId w:val="1"/>
  </w:num>
  <w:num w:numId="11" w16cid:durableId="381447532">
    <w:abstractNumId w:val="3"/>
  </w:num>
  <w:num w:numId="12" w16cid:durableId="18777685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activeWritingStyle w:appName="MSWord" w:lang="de-DE" w:vendorID="9" w:dllVersion="512" w:checkStyle="1"/>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C71"/>
    <w:rsid w:val="00003648"/>
    <w:rsid w:val="00003DC0"/>
    <w:rsid w:val="0007669D"/>
    <w:rsid w:val="000E1706"/>
    <w:rsid w:val="000F0BAA"/>
    <w:rsid w:val="0010228A"/>
    <w:rsid w:val="00103075"/>
    <w:rsid w:val="0011392F"/>
    <w:rsid w:val="00116BCC"/>
    <w:rsid w:val="00126FF5"/>
    <w:rsid w:val="001406E7"/>
    <w:rsid w:val="001446FE"/>
    <w:rsid w:val="0017616A"/>
    <w:rsid w:val="00176A40"/>
    <w:rsid w:val="00192E91"/>
    <w:rsid w:val="001A5EF4"/>
    <w:rsid w:val="001D3CFD"/>
    <w:rsid w:val="00244AC5"/>
    <w:rsid w:val="0027273C"/>
    <w:rsid w:val="0027768A"/>
    <w:rsid w:val="002A0B83"/>
    <w:rsid w:val="00307BCC"/>
    <w:rsid w:val="00322FA9"/>
    <w:rsid w:val="00345AA6"/>
    <w:rsid w:val="00361B51"/>
    <w:rsid w:val="00377F05"/>
    <w:rsid w:val="00412DF0"/>
    <w:rsid w:val="00455B2A"/>
    <w:rsid w:val="0045719C"/>
    <w:rsid w:val="0046534E"/>
    <w:rsid w:val="00490BE4"/>
    <w:rsid w:val="004A00C0"/>
    <w:rsid w:val="004F0554"/>
    <w:rsid w:val="00505CA6"/>
    <w:rsid w:val="00526AA3"/>
    <w:rsid w:val="005431F2"/>
    <w:rsid w:val="00650C06"/>
    <w:rsid w:val="00662A7C"/>
    <w:rsid w:val="006A0553"/>
    <w:rsid w:val="006B117C"/>
    <w:rsid w:val="006C3FBA"/>
    <w:rsid w:val="006E20F1"/>
    <w:rsid w:val="006E2257"/>
    <w:rsid w:val="006E50EB"/>
    <w:rsid w:val="006E6936"/>
    <w:rsid w:val="006F4A8D"/>
    <w:rsid w:val="00715CB0"/>
    <w:rsid w:val="007277A6"/>
    <w:rsid w:val="007C7707"/>
    <w:rsid w:val="007C77A8"/>
    <w:rsid w:val="007F073A"/>
    <w:rsid w:val="007F7B47"/>
    <w:rsid w:val="00830BF7"/>
    <w:rsid w:val="008463F5"/>
    <w:rsid w:val="00867E75"/>
    <w:rsid w:val="00873F0A"/>
    <w:rsid w:val="008839CE"/>
    <w:rsid w:val="008D2165"/>
    <w:rsid w:val="008E7FA1"/>
    <w:rsid w:val="00906C4B"/>
    <w:rsid w:val="00921E7F"/>
    <w:rsid w:val="009302BD"/>
    <w:rsid w:val="00936F15"/>
    <w:rsid w:val="00944C6A"/>
    <w:rsid w:val="0098253F"/>
    <w:rsid w:val="009975B8"/>
    <w:rsid w:val="009F5699"/>
    <w:rsid w:val="00A2086D"/>
    <w:rsid w:val="00A571AD"/>
    <w:rsid w:val="00B66721"/>
    <w:rsid w:val="00BA5D45"/>
    <w:rsid w:val="00BF300E"/>
    <w:rsid w:val="00C144A2"/>
    <w:rsid w:val="00C423F6"/>
    <w:rsid w:val="00C96AA3"/>
    <w:rsid w:val="00CB43A0"/>
    <w:rsid w:val="00CE1849"/>
    <w:rsid w:val="00D14DE4"/>
    <w:rsid w:val="00D40F73"/>
    <w:rsid w:val="00D53C71"/>
    <w:rsid w:val="00D83227"/>
    <w:rsid w:val="00DB3C0D"/>
    <w:rsid w:val="00DC0944"/>
    <w:rsid w:val="00DC4177"/>
    <w:rsid w:val="00E17AC0"/>
    <w:rsid w:val="00E73073"/>
    <w:rsid w:val="00EC00D9"/>
    <w:rsid w:val="00ED6953"/>
    <w:rsid w:val="00F03DBF"/>
    <w:rsid w:val="00F2402B"/>
    <w:rsid w:val="00F73F3C"/>
    <w:rsid w:val="00FC1C3E"/>
    <w:rsid w:val="00FF07E2"/>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6B8C6958"/>
  <w15:docId w15:val="{252CEFD3-6B75-45E9-A2B4-A6515BEFD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423F6"/>
    <w:rPr>
      <w:rFonts w:ascii="Futura Bk BT" w:hAnsi="Futura Bk BT"/>
      <w:sz w:val="24"/>
    </w:rPr>
  </w:style>
  <w:style w:type="paragraph" w:styleId="berschrift1">
    <w:name w:val="heading 1"/>
    <w:basedOn w:val="Standard"/>
    <w:next w:val="Standard"/>
    <w:qFormat/>
    <w:rsid w:val="00C144A2"/>
    <w:pPr>
      <w:keepNext/>
      <w:numPr>
        <w:numId w:val="1"/>
      </w:numPr>
      <w:spacing w:before="120" w:after="120"/>
      <w:outlineLvl w:val="0"/>
    </w:pPr>
    <w:rPr>
      <w:b/>
      <w:kern w:val="28"/>
      <w:sz w:val="28"/>
    </w:rPr>
  </w:style>
  <w:style w:type="paragraph" w:styleId="berschrift2">
    <w:name w:val="heading 2"/>
    <w:basedOn w:val="Standard"/>
    <w:next w:val="Standard"/>
    <w:qFormat/>
    <w:rsid w:val="00C144A2"/>
    <w:pPr>
      <w:keepNext/>
      <w:numPr>
        <w:ilvl w:val="1"/>
        <w:numId w:val="1"/>
      </w:numPr>
      <w:spacing w:after="60"/>
      <w:outlineLvl w:val="1"/>
    </w:pPr>
    <w:rPr>
      <w:b/>
      <w:i/>
    </w:rPr>
  </w:style>
  <w:style w:type="paragraph" w:styleId="berschrift3">
    <w:name w:val="heading 3"/>
    <w:basedOn w:val="Standard"/>
    <w:next w:val="Standard"/>
    <w:qFormat/>
    <w:rsid w:val="00C144A2"/>
    <w:pPr>
      <w:keepNext/>
      <w:numPr>
        <w:ilvl w:val="2"/>
        <w:numId w:val="1"/>
      </w:numPr>
      <w:outlineLvl w:val="2"/>
    </w:pPr>
    <w:rPr>
      <w:b/>
    </w:rPr>
  </w:style>
  <w:style w:type="paragraph" w:styleId="berschrift4">
    <w:name w:val="heading 4"/>
    <w:basedOn w:val="Standard"/>
    <w:next w:val="Standard"/>
    <w:qFormat/>
    <w:rsid w:val="00C144A2"/>
    <w:pPr>
      <w:keepNext/>
      <w:numPr>
        <w:ilvl w:val="3"/>
        <w:numId w:val="1"/>
      </w:numPr>
      <w:spacing w:before="240" w:after="60"/>
      <w:outlineLvl w:val="3"/>
    </w:pPr>
    <w:rPr>
      <w:rFonts w:ascii="Times New Roman" w:hAnsi="Times New Roman"/>
      <w:b/>
      <w:i/>
    </w:rPr>
  </w:style>
  <w:style w:type="paragraph" w:styleId="berschrift5">
    <w:name w:val="heading 5"/>
    <w:basedOn w:val="Standard"/>
    <w:next w:val="Standard"/>
    <w:qFormat/>
    <w:rsid w:val="00C144A2"/>
    <w:pPr>
      <w:numPr>
        <w:ilvl w:val="4"/>
        <w:numId w:val="1"/>
      </w:numPr>
      <w:spacing w:before="240" w:after="60"/>
      <w:outlineLvl w:val="4"/>
    </w:pPr>
    <w:rPr>
      <w:rFonts w:ascii="Arial" w:hAnsi="Arial"/>
      <w:sz w:val="22"/>
    </w:rPr>
  </w:style>
  <w:style w:type="paragraph" w:styleId="berschrift6">
    <w:name w:val="heading 6"/>
    <w:basedOn w:val="Standard"/>
    <w:next w:val="Standard"/>
    <w:qFormat/>
    <w:rsid w:val="00C144A2"/>
    <w:pPr>
      <w:numPr>
        <w:ilvl w:val="5"/>
        <w:numId w:val="1"/>
      </w:numPr>
      <w:spacing w:before="240" w:after="60"/>
      <w:outlineLvl w:val="5"/>
    </w:pPr>
    <w:rPr>
      <w:rFonts w:ascii="Arial" w:hAnsi="Arial"/>
      <w:i/>
      <w:sz w:val="22"/>
    </w:rPr>
  </w:style>
  <w:style w:type="paragraph" w:styleId="berschrift7">
    <w:name w:val="heading 7"/>
    <w:basedOn w:val="Standard"/>
    <w:next w:val="Standard"/>
    <w:qFormat/>
    <w:rsid w:val="00C144A2"/>
    <w:pPr>
      <w:numPr>
        <w:ilvl w:val="6"/>
        <w:numId w:val="1"/>
      </w:numPr>
      <w:spacing w:before="240" w:after="60"/>
      <w:outlineLvl w:val="6"/>
    </w:pPr>
    <w:rPr>
      <w:rFonts w:ascii="Arial" w:hAnsi="Arial"/>
    </w:rPr>
  </w:style>
  <w:style w:type="paragraph" w:styleId="berschrift8">
    <w:name w:val="heading 8"/>
    <w:basedOn w:val="Standard"/>
    <w:next w:val="Standard"/>
    <w:qFormat/>
    <w:rsid w:val="00C144A2"/>
    <w:pPr>
      <w:numPr>
        <w:ilvl w:val="7"/>
        <w:numId w:val="1"/>
      </w:numPr>
      <w:spacing w:before="240" w:after="60"/>
      <w:outlineLvl w:val="7"/>
    </w:pPr>
    <w:rPr>
      <w:rFonts w:ascii="Arial" w:hAnsi="Arial"/>
      <w:i/>
    </w:rPr>
  </w:style>
  <w:style w:type="paragraph" w:styleId="berschrift9">
    <w:name w:val="heading 9"/>
    <w:basedOn w:val="Standard"/>
    <w:next w:val="Standard"/>
    <w:qFormat/>
    <w:rsid w:val="00C144A2"/>
    <w:pPr>
      <w:numPr>
        <w:ilvl w:val="8"/>
        <w:numId w:val="1"/>
      </w:numPr>
      <w:spacing w:before="240" w:after="60"/>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pPr>
      <w:tabs>
        <w:tab w:val="center" w:pos="4819"/>
        <w:tab w:val="right" w:pos="9071"/>
      </w:tabs>
      <w:spacing w:before="60"/>
    </w:pPr>
    <w:rPr>
      <w:sz w:val="20"/>
    </w:rPr>
  </w:style>
  <w:style w:type="table" w:styleId="Tabellenraster">
    <w:name w:val="Table Grid"/>
    <w:basedOn w:val="NormaleTabelle"/>
    <w:rsid w:val="00C423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treff">
    <w:name w:val="Betreff"/>
    <w:basedOn w:val="Standard"/>
    <w:next w:val="Standard"/>
    <w:rsid w:val="009302BD"/>
    <w:pPr>
      <w:spacing w:before="280" w:after="280"/>
    </w:pPr>
    <w:rPr>
      <w:b/>
      <w:sz w:val="28"/>
    </w:rPr>
  </w:style>
  <w:style w:type="character" w:styleId="Seitenzahl">
    <w:name w:val="page number"/>
    <w:basedOn w:val="Absatz-Standardschriftart"/>
  </w:style>
  <w:style w:type="paragraph" w:styleId="Datum">
    <w:name w:val="Date"/>
    <w:basedOn w:val="Standard"/>
    <w:pPr>
      <w:tabs>
        <w:tab w:val="left" w:pos="5387"/>
        <w:tab w:val="left" w:pos="6804"/>
      </w:tabs>
    </w:pPr>
    <w:rPr>
      <w:sz w:val="20"/>
    </w:rPr>
  </w:style>
  <w:style w:type="paragraph" w:styleId="Standardeinzug">
    <w:name w:val="Normal Indent"/>
    <w:basedOn w:val="Standard"/>
    <w:pPr>
      <w:spacing w:after="120"/>
    </w:pPr>
  </w:style>
  <w:style w:type="paragraph" w:styleId="Verzeichnis1">
    <w:name w:val="toc 1"/>
    <w:basedOn w:val="Standard"/>
    <w:next w:val="Standard"/>
    <w:semiHidden/>
    <w:pPr>
      <w:tabs>
        <w:tab w:val="right" w:pos="9355"/>
      </w:tabs>
    </w:pPr>
    <w:rPr>
      <w:b/>
      <w:caps/>
    </w:rPr>
  </w:style>
  <w:style w:type="paragraph" w:styleId="Verzeichnis2">
    <w:name w:val="toc 2"/>
    <w:basedOn w:val="Standard"/>
    <w:next w:val="Standard"/>
    <w:semiHidden/>
    <w:pPr>
      <w:tabs>
        <w:tab w:val="right" w:pos="9355"/>
      </w:tabs>
      <w:ind w:left="198"/>
    </w:pPr>
    <w:rPr>
      <w:b/>
    </w:rPr>
  </w:style>
  <w:style w:type="paragraph" w:styleId="Verzeichnis3">
    <w:name w:val="toc 3"/>
    <w:basedOn w:val="Standard"/>
    <w:next w:val="Standard"/>
    <w:semiHidden/>
    <w:pPr>
      <w:tabs>
        <w:tab w:val="right" w:pos="9355"/>
      </w:tabs>
      <w:ind w:left="400"/>
    </w:pPr>
  </w:style>
  <w:style w:type="paragraph" w:styleId="Verzeichnis4">
    <w:name w:val="toc 4"/>
    <w:basedOn w:val="Standard"/>
    <w:next w:val="Standard"/>
    <w:semiHidden/>
    <w:pPr>
      <w:tabs>
        <w:tab w:val="right" w:pos="9355"/>
      </w:tabs>
      <w:ind w:left="600"/>
    </w:pPr>
    <w:rPr>
      <w:rFonts w:ascii="Times New Roman" w:hAnsi="Times New Roman"/>
    </w:rPr>
  </w:style>
  <w:style w:type="paragraph" w:styleId="Verzeichnis5">
    <w:name w:val="toc 5"/>
    <w:basedOn w:val="Standard"/>
    <w:next w:val="Standard"/>
    <w:semiHidden/>
    <w:pPr>
      <w:tabs>
        <w:tab w:val="right" w:pos="9355"/>
      </w:tabs>
      <w:ind w:left="800"/>
    </w:pPr>
    <w:rPr>
      <w:rFonts w:ascii="Times New Roman" w:hAnsi="Times New Roman"/>
    </w:rPr>
  </w:style>
  <w:style w:type="paragraph" w:styleId="Sprechblasentext">
    <w:name w:val="Balloon Text"/>
    <w:basedOn w:val="Standard"/>
    <w:semiHidden/>
    <w:rsid w:val="00944C6A"/>
    <w:rPr>
      <w:rFonts w:ascii="Tahoma" w:hAnsi="Tahoma" w:cs="Tahoma"/>
      <w:sz w:val="16"/>
      <w:szCs w:val="16"/>
    </w:rPr>
  </w:style>
  <w:style w:type="paragraph" w:customStyle="1" w:styleId="Formatvorlage1">
    <w:name w:val="Formatvorlage1"/>
    <w:basedOn w:val="Standard"/>
    <w:rsid w:val="0007669D"/>
    <w:rPr>
      <w:rFonts w:ascii="Times New Roman" w:hAnsi="Times New Roman"/>
    </w:rPr>
  </w:style>
  <w:style w:type="character" w:styleId="Hyperlink">
    <w:name w:val="Hyperlink"/>
    <w:basedOn w:val="Absatz-Standardschriftart"/>
    <w:rsid w:val="00E17AC0"/>
    <w:rPr>
      <w:color w:val="0000FF"/>
      <w:u w:val="single"/>
    </w:rPr>
  </w:style>
  <w:style w:type="paragraph" w:styleId="Kopfzeile">
    <w:name w:val="header"/>
    <w:basedOn w:val="Standard"/>
    <w:rsid w:val="001D3CFD"/>
    <w:pPr>
      <w:tabs>
        <w:tab w:val="center" w:pos="4536"/>
        <w:tab w:val="right" w:pos="9072"/>
      </w:tabs>
    </w:pPr>
  </w:style>
  <w:style w:type="paragraph" w:styleId="Listenabsatz">
    <w:name w:val="List Paragraph"/>
    <w:basedOn w:val="Standard"/>
    <w:uiPriority w:val="34"/>
    <w:qFormat/>
    <w:rsid w:val="00921E7F"/>
    <w:pPr>
      <w:ind w:left="720"/>
      <w:contextualSpacing/>
    </w:pPr>
  </w:style>
  <w:style w:type="paragraph" w:customStyle="1" w:styleId="PSCLauftext">
    <w:name w:val="PSC Lauftext"/>
    <w:basedOn w:val="Standard"/>
    <w:qFormat/>
    <w:rsid w:val="007F073A"/>
    <w:pPr>
      <w:spacing w:after="20"/>
    </w:pPr>
    <w:rPr>
      <w:rFonts w:ascii="NeueSans Pro Normal" w:eastAsiaTheme="minorHAnsi" w:hAnsi="NeueSans Pro Normal" w:cstheme="minorBidi"/>
      <w:sz w:val="20"/>
      <w:lang w:eastAsia="en-US"/>
    </w:rPr>
  </w:style>
  <w:style w:type="paragraph" w:customStyle="1" w:styleId="PSCTitelinstanz01">
    <w:name w:val="PSC Titelinstanz 01"/>
    <w:basedOn w:val="PSCLauftext"/>
    <w:next w:val="Standard"/>
    <w:qFormat/>
    <w:rsid w:val="007F073A"/>
    <w:pPr>
      <w:spacing w:after="200"/>
    </w:pPr>
    <w:rPr>
      <w:rFonts w:ascii="NeueSans Pro SemiBold" w:hAnsi="NeueSans Pro SemiBold"/>
      <w:color w:val="00726F"/>
      <w:sz w:val="28"/>
      <w:szCs w:val="28"/>
    </w:rPr>
  </w:style>
  <w:style w:type="paragraph" w:customStyle="1" w:styleId="PSCLeadtext">
    <w:name w:val="PSC Leadtext"/>
    <w:basedOn w:val="PSCLauftext"/>
    <w:next w:val="Standard"/>
    <w:qFormat/>
    <w:rsid w:val="007F073A"/>
    <w:pPr>
      <w:spacing w:after="280"/>
    </w:pPr>
    <w:rPr>
      <w:sz w:val="24"/>
    </w:rPr>
  </w:style>
  <w:style w:type="character" w:styleId="NichtaufgelsteErwhnung">
    <w:name w:val="Unresolved Mention"/>
    <w:basedOn w:val="Absatz-Standardschriftart"/>
    <w:uiPriority w:val="99"/>
    <w:semiHidden/>
    <w:unhideWhenUsed/>
    <w:rsid w:val="00867E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pstg.ch" TargetMode="External"/><Relationship Id="rId4" Type="http://schemas.openxmlformats.org/officeDocument/2006/relationships/webSettings" Target="webSettings.xml"/><Relationship Id="rId9" Type="http://schemas.openxmlformats.org/officeDocument/2006/relationships/hyperlink" Target="mailto:info@pstg.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X:\Vorlagen\CRMPlus\Brief.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Brief</Template>
  <TotalTime>0</TotalTime>
  <Pages>2</Pages>
  <Words>433</Words>
  <Characters>2735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Pro Senectute Aargau</Company>
  <LinksUpToDate>false</LinksUpToDate>
  <CharactersWithSpaces>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Werthmüller Sibylle (PS-AG)</dc:creator>
  <cp:lastModifiedBy>Dominguez Fatima</cp:lastModifiedBy>
  <cp:revision>2</cp:revision>
  <cp:lastPrinted>2016-07-21T11:30:00Z</cp:lastPrinted>
  <dcterms:created xsi:type="dcterms:W3CDTF">2023-10-03T13:07:00Z</dcterms:created>
  <dcterms:modified xsi:type="dcterms:W3CDTF">2023-10-03T13:07:00Z</dcterms:modified>
</cp:coreProperties>
</file>